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BC" w:rsidRDefault="00B12BBC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208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50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وظائف ادارية ومهنية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0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 xml:space="preserve">عقد سنوي - 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مأمور مقسم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0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</w:t>
            </w:r>
            <w:r>
              <w:rPr>
                <w:b/>
                <w:bCs/>
                <w:sz w:val="16"/>
                <w:szCs w:val="16"/>
                <w:rtl/>
              </w:rPr>
              <w:t>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لا يوجد مستوى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1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مديرية الشؤون الادارية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مامور مقسم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0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رئيس قسم الديوان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0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مأمور مقسم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0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spacing w:after="0"/>
              <w:ind w:right="8"/>
              <w:jc w:val="right"/>
            </w:pPr>
            <w:r>
              <w:rPr>
                <w:sz w:val="16"/>
              </w:rPr>
              <w:t>121999008651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0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B12BBC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B12BBC" w:rsidRDefault="001603E5">
            <w:pPr>
              <w:bidi/>
              <w:spacing w:after="0"/>
              <w:ind w:left="10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B12BBC" w:rsidRDefault="001603E5">
            <w:pPr>
              <w:bidi/>
              <w:spacing w:after="0"/>
              <w:ind w:left="9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B12BBC">
        <w:trPr>
          <w:trHeight w:val="4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B12BBC" w:rsidRDefault="001603E5">
            <w:pPr>
              <w:bidi/>
              <w:spacing w:after="0"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</w:t>
            </w:r>
            <w:r>
              <w:rPr>
                <w:b/>
                <w:bCs/>
                <w:sz w:val="16"/>
                <w:szCs w:val="16"/>
                <w:rtl/>
              </w:rPr>
              <w:t xml:space="preserve"> لشاغلي وظائف المجموعة الثانية من الفئة العليا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B12BBC">
        <w:trPr>
          <w:trHeight w:val="18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right="1874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B12BBC" w:rsidRDefault="001603E5">
            <w:pPr>
              <w:spacing w:after="95"/>
              <w:ind w:left="2210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790" name="Picture 7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BBC" w:rsidRDefault="001603E5">
            <w:pPr>
              <w:bidi/>
              <w:spacing w:after="0"/>
              <w:ind w:right="1576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B12BBC" w:rsidRDefault="001603E5">
            <w:pPr>
              <w:spacing w:after="95"/>
              <w:ind w:left="2210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14" name="Picture 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2BBC" w:rsidRDefault="001603E5">
            <w:pPr>
              <w:bidi/>
              <w:spacing w:after="0"/>
              <w:ind w:right="1511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الشؤون الادارية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B12BBC">
        <w:trPr>
          <w:trHeight w:val="4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استقبال وتلبية الاتصالات الها</w:t>
            </w:r>
            <w:r>
              <w:rPr>
                <w:sz w:val="16"/>
                <w:szCs w:val="16"/>
                <w:rtl/>
              </w:rPr>
              <w:t>تفية الداخلية والخارجية الرسمية وترصيدها ومتابعة أعمال الصيانة الهاتفية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B12BBC">
        <w:trPr>
          <w:trHeight w:val="37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12BBC" w:rsidRDefault="001603E5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استقبال المكالمات الخارجية والداخلية وايصالها للموظفين المعنيين في الدائرة بسرعة ودقة</w:t>
            </w:r>
          </w:p>
          <w:p w:rsidR="00B12BBC" w:rsidRDefault="001603E5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تلبية طلبات الموظف</w:t>
            </w:r>
            <w:r>
              <w:rPr>
                <w:sz w:val="16"/>
                <w:szCs w:val="16"/>
                <w:rtl/>
              </w:rPr>
              <w:t>ين الهاتفية داخل الدائرة وخارجها</w:t>
            </w:r>
          </w:p>
          <w:p w:rsidR="00B12BBC" w:rsidRDefault="001603E5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تلبية طلبات الموظفين الهاتفية الرسمية للدوائر ذات العلاقة</w:t>
            </w:r>
          </w:p>
          <w:p w:rsidR="00B12BBC" w:rsidRDefault="001603E5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تركيب الهواتف الداخلية في المكاتب</w:t>
            </w:r>
          </w:p>
          <w:p w:rsidR="00B12BBC" w:rsidRDefault="001603E5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متابعة اعمال الصيانة الهاتفية</w:t>
            </w:r>
          </w:p>
          <w:p w:rsidR="00B12BBC" w:rsidRDefault="001603E5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تطبيق اجراءات السلامة والصحة المهنية</w:t>
            </w:r>
          </w:p>
          <w:p w:rsidR="00B12BBC" w:rsidRDefault="001603E5">
            <w:pPr>
              <w:numPr>
                <w:ilvl w:val="0"/>
                <w:numId w:val="1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الحفاظ على ديمومه وسرية المعلومات .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</w:t>
            </w:r>
            <w:r>
              <w:rPr>
                <w:b/>
                <w:bCs/>
                <w:sz w:val="16"/>
                <w:szCs w:val="16"/>
                <w:rtl/>
              </w:rPr>
              <w:t>صالات العمل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</w:tbl>
    <w:p w:rsidR="00B12BBC" w:rsidRDefault="00B12BBC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B12BBC">
        <w:trPr>
          <w:trHeight w:val="20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1603E5">
            <w:pPr>
              <w:numPr>
                <w:ilvl w:val="0"/>
                <w:numId w:val="2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:rsidR="00B12BBC" w:rsidRDefault="001603E5">
            <w:pPr>
              <w:numPr>
                <w:ilvl w:val="0"/>
                <w:numId w:val="2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الجمهور</w:t>
            </w:r>
          </w:p>
          <w:p w:rsidR="00B12BBC" w:rsidRDefault="001603E5">
            <w:pPr>
              <w:numPr>
                <w:ilvl w:val="0"/>
                <w:numId w:val="2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الهيئات الدولية</w:t>
            </w:r>
          </w:p>
          <w:p w:rsidR="00B12BBC" w:rsidRDefault="001603E5">
            <w:pPr>
              <w:numPr>
                <w:ilvl w:val="0"/>
                <w:numId w:val="2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الهيئات المحلية</w:t>
            </w:r>
          </w:p>
          <w:p w:rsidR="00B12BBC" w:rsidRDefault="001603E5">
            <w:pPr>
              <w:numPr>
                <w:ilvl w:val="0"/>
                <w:numId w:val="2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موظفي الدوائر الحكومية الاخرى</w:t>
            </w:r>
          </w:p>
          <w:p w:rsidR="00B12BBC" w:rsidRDefault="001603E5">
            <w:pPr>
              <w:numPr>
                <w:ilvl w:val="0"/>
                <w:numId w:val="2"/>
              </w:numPr>
              <w:bidi/>
              <w:spacing w:after="0"/>
              <w:ind w:hanging="152"/>
            </w:pPr>
            <w:r>
              <w:rPr>
                <w:sz w:val="16"/>
                <w:szCs w:val="16"/>
                <w:rtl/>
              </w:rPr>
              <w:t>موظفين الوحدات الأخرى الوزارة/المؤسسة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B12BBC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B12BBC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B12BBC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B12BBC">
        <w:trPr>
          <w:trHeight w:val="6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tabs>
                <w:tab w:val="center" w:pos="170"/>
                <w:tab w:val="center" w:pos="1080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ab/>
              <w:t>تسهل عمل الأخرين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B12BBC">
        <w:trPr>
          <w:trHeight w:val="4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ذات طبيعة مختلفة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الاشرافية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B12BBC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lastRenderedPageBreak/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</w:t>
            </w:r>
            <w:r>
              <w:rPr>
                <w:b/>
                <w:bCs/>
                <w:sz w:val="16"/>
                <w:szCs w:val="16"/>
                <w:rtl/>
              </w:rPr>
              <w:t>مل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B12BBC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B12BBC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spacing w:after="0"/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spacing w:after="0"/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</w:t>
            </w:r>
            <w:r>
              <w:rPr>
                <w:b/>
                <w:bCs/>
                <w:sz w:val="16"/>
                <w:szCs w:val="16"/>
                <w:rtl/>
              </w:rPr>
              <w:t>لمؤهلات العلمية والخبرات العملية والتدريب)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BA55A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ثانوية عامة فما دون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B12BBC">
        <w:trPr>
          <w:trHeight w:val="7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 w:rsidP="00BA55A1">
            <w:pPr>
              <w:bidi/>
              <w:spacing w:after="0"/>
            </w:pP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</w:t>
            </w:r>
            <w:r>
              <w:rPr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B12BBC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B12BBC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rtl/>
              </w:rPr>
              <w:t xml:space="preserve"> - 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 xml:space="preserve"> سنوات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خبرة في مجال اختصاص الوظيفة</w:t>
            </w:r>
          </w:p>
        </w:tc>
      </w:tr>
      <w:tr w:rsidR="00B12BBC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</w:tbl>
    <w:p w:rsidR="00B12BBC" w:rsidRDefault="00B12BBC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333"/>
        <w:gridCol w:w="1667"/>
        <w:gridCol w:w="580"/>
        <w:gridCol w:w="2246"/>
        <w:gridCol w:w="2246"/>
        <w:gridCol w:w="1000"/>
      </w:tblGrid>
      <w:tr w:rsidR="00B12BBC">
        <w:trPr>
          <w:trHeight w:val="400"/>
        </w:trPr>
        <w:tc>
          <w:tcPr>
            <w:tcW w:w="5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BA55A1" w:rsidTr="00C7704C">
        <w:trPr>
          <w:trHeight w:val="400"/>
        </w:trPr>
        <w:tc>
          <w:tcPr>
            <w:tcW w:w="1110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5A1" w:rsidRPr="00BA55A1" w:rsidRDefault="00BA55A1" w:rsidP="00BA55A1">
            <w:pPr>
              <w:bidi/>
              <w:spacing w:after="0"/>
              <w:ind w:left="12"/>
              <w:jc w:val="center"/>
              <w:rPr>
                <w:b/>
                <w:bCs/>
              </w:rPr>
            </w:pPr>
            <w:r w:rsidRPr="00BA55A1">
              <w:rPr>
                <w:b/>
                <w:bCs/>
                <w:sz w:val="16"/>
                <w:szCs w:val="16"/>
                <w:rtl/>
              </w:rPr>
              <w:t>حسب خطة التدريب والمسار التدريبي المعتمد</w:t>
            </w:r>
          </w:p>
        </w:tc>
      </w:tr>
      <w:tr w:rsidR="00B12BBC">
        <w:trPr>
          <w:trHeight w:val="400"/>
        </w:trPr>
        <w:tc>
          <w:tcPr>
            <w:tcW w:w="5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B12BBC">
        <w:trPr>
          <w:trHeight w:val="400"/>
        </w:trPr>
        <w:tc>
          <w:tcPr>
            <w:tcW w:w="5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التركيز ع</w:t>
            </w:r>
            <w:r>
              <w:rPr>
                <w:sz w:val="16"/>
                <w:szCs w:val="16"/>
                <w:rtl/>
              </w:rPr>
              <w:t>لى الاهداف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B12BBC">
        <w:trPr>
          <w:trHeight w:val="400"/>
        </w:trPr>
        <w:tc>
          <w:tcPr>
            <w:tcW w:w="5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BE5F1"/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متقدم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اجازة مزاولة مهنة</w:t>
            </w:r>
          </w:p>
        </w:tc>
      </w:tr>
      <w:tr w:rsidR="00B12BBC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2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Default="001603E5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اجادة القراءة والكتابة</w:t>
            </w:r>
          </w:p>
        </w:tc>
      </w:tr>
      <w:tr w:rsidR="00B12BBC">
        <w:trPr>
          <w:trHeight w:val="400"/>
        </w:trPr>
        <w:tc>
          <w:tcPr>
            <w:tcW w:w="56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B12BBC" w:rsidRDefault="00B12BBC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B12BBC" w:rsidRDefault="001603E5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B12BBC" w:rsidTr="00BA55A1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</w:t>
            </w:r>
            <w:r>
              <w:rPr>
                <w:b/>
                <w:bCs/>
                <w:sz w:val="16"/>
                <w:szCs w:val="16"/>
                <w:rtl/>
              </w:rPr>
              <w:t>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  <w:bookmarkStart w:id="0" w:name="_GoBack"/>
        <w:bookmarkEnd w:id="0"/>
      </w:tr>
      <w:tr w:rsidR="00B12BBC" w:rsidTr="00BA55A1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Pr="00BA55A1" w:rsidRDefault="001603E5">
            <w:pPr>
              <w:spacing w:after="0"/>
              <w:ind w:right="6"/>
              <w:jc w:val="right"/>
              <w:rPr>
                <w:b/>
                <w:bCs/>
                <w:sz w:val="20"/>
                <w:szCs w:val="20"/>
              </w:rPr>
            </w:pPr>
            <w:r w:rsidRPr="00BA55A1">
              <w:rPr>
                <w:b/>
                <w:bCs/>
                <w:sz w:val="20"/>
                <w:szCs w:val="20"/>
              </w:rPr>
              <w:t>21-12-2025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Pr="00BA55A1" w:rsidRDefault="001603E5">
            <w:pPr>
              <w:bidi/>
              <w:spacing w:after="0"/>
              <w:ind w:left="6"/>
              <w:rPr>
                <w:b/>
                <w:bCs/>
                <w:sz w:val="20"/>
                <w:szCs w:val="20"/>
              </w:rPr>
            </w:pPr>
            <w:r w:rsidRPr="00BA55A1">
              <w:rPr>
                <w:b/>
                <w:bCs/>
                <w:sz w:val="20"/>
                <w:szCs w:val="20"/>
                <w:rtl/>
              </w:rPr>
              <w:t>محمد أحمد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BBC" w:rsidRPr="00BA55A1" w:rsidRDefault="001603E5">
            <w:pPr>
              <w:bidi/>
              <w:spacing w:after="0"/>
              <w:ind w:left="6"/>
              <w:rPr>
                <w:b/>
                <w:bCs/>
                <w:sz w:val="20"/>
                <w:szCs w:val="20"/>
              </w:rPr>
            </w:pPr>
            <w:r w:rsidRPr="00BA55A1">
              <w:rPr>
                <w:b/>
                <w:bCs/>
                <w:sz w:val="20"/>
                <w:szCs w:val="20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B12BBC" w:rsidTr="00BA55A1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B12BBC" w:rsidTr="00BA55A1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BBC" w:rsidRDefault="00B12BBC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B12BBC" w:rsidRDefault="001603E5">
            <w:pPr>
              <w:bidi/>
              <w:spacing w:after="0"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1603E5" w:rsidRDefault="001603E5"/>
    <w:sectPr w:rsidR="00160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6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E5" w:rsidRDefault="001603E5">
      <w:pPr>
        <w:spacing w:after="0" w:line="240" w:lineRule="auto"/>
      </w:pPr>
      <w:r>
        <w:separator/>
      </w:r>
    </w:p>
  </w:endnote>
  <w:endnote w:type="continuationSeparator" w:id="0">
    <w:p w:rsidR="001603E5" w:rsidRDefault="0016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BC" w:rsidRDefault="001603E5">
    <w:pPr>
      <w:tabs>
        <w:tab w:val="center" w:pos="4722"/>
      </w:tabs>
      <w:bidi/>
      <w:spacing w:after="0"/>
      <w:ind w:left="-1055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23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12</w:t>
    </w:r>
    <w:r>
      <w:rPr>
        <w:sz w:val="16"/>
        <w:szCs w:val="16"/>
        <w:rtl/>
      </w:rPr>
      <w:t>:</w:t>
    </w:r>
    <w:r>
      <w:rPr>
        <w:sz w:val="16"/>
        <w:szCs w:val="16"/>
      </w:rPr>
      <w:t>09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3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B12BBC" w:rsidRDefault="001603E5">
    <w:pPr>
      <w:bidi/>
      <w:spacing w:after="0"/>
      <w:ind w:left="-1055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BC" w:rsidRDefault="001603E5">
    <w:pPr>
      <w:tabs>
        <w:tab w:val="center" w:pos="4722"/>
      </w:tabs>
      <w:bidi/>
      <w:spacing w:after="0"/>
      <w:ind w:left="-1055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23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12</w:t>
    </w:r>
    <w:r>
      <w:rPr>
        <w:sz w:val="16"/>
        <w:szCs w:val="16"/>
        <w:rtl/>
      </w:rPr>
      <w:t>:</w:t>
    </w:r>
    <w:r>
      <w:rPr>
        <w:sz w:val="16"/>
        <w:szCs w:val="16"/>
      </w:rPr>
      <w:t>09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 w:rsidR="00BA55A1" w:rsidRPr="00BA55A1">
      <w:rPr>
        <w:rFonts w:ascii="Segoe UI" w:eastAsia="Segoe UI" w:hAnsi="Segoe UI" w:cs="Segoe UI"/>
        <w:noProof/>
        <w:sz w:val="24"/>
        <w:szCs w:val="24"/>
        <w:rtl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BA55A1" w:rsidRPr="00BA55A1">
      <w:rPr>
        <w:rFonts w:ascii="Segoe UI" w:eastAsia="Segoe UI" w:hAnsi="Segoe UI" w:cs="Segoe UI"/>
        <w:noProof/>
        <w:sz w:val="24"/>
        <w:szCs w:val="24"/>
        <w:rtl/>
      </w:rPr>
      <w:t>3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B12BBC" w:rsidRDefault="001603E5">
    <w:pPr>
      <w:bidi/>
      <w:spacing w:after="0"/>
      <w:ind w:left="-1055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BC" w:rsidRDefault="001603E5">
    <w:pPr>
      <w:tabs>
        <w:tab w:val="center" w:pos="4722"/>
      </w:tabs>
      <w:bidi/>
      <w:spacing w:after="0"/>
      <w:ind w:left="-1055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23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12</w:t>
    </w:r>
    <w:r>
      <w:rPr>
        <w:sz w:val="16"/>
        <w:szCs w:val="16"/>
        <w:rtl/>
      </w:rPr>
      <w:t>:</w:t>
    </w:r>
    <w:r>
      <w:rPr>
        <w:sz w:val="16"/>
        <w:szCs w:val="16"/>
      </w:rPr>
      <w:t>09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3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B12BBC" w:rsidRDefault="001603E5">
    <w:pPr>
      <w:bidi/>
      <w:spacing w:after="0"/>
      <w:ind w:left="-1055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E5" w:rsidRDefault="001603E5">
      <w:pPr>
        <w:spacing w:after="0" w:line="240" w:lineRule="auto"/>
      </w:pPr>
      <w:r>
        <w:separator/>
      </w:r>
    </w:p>
  </w:footnote>
  <w:footnote w:type="continuationSeparator" w:id="0">
    <w:p w:rsidR="001603E5" w:rsidRDefault="0016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BC" w:rsidRDefault="001603E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A1" w:rsidRDefault="001603E5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:rsidR="00B12BBC" w:rsidRDefault="001603E5" w:rsidP="00BA55A1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BBC" w:rsidRDefault="001603E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</w:t>
    </w:r>
    <w:r>
      <w:rPr>
        <w:sz w:val="32"/>
        <w:szCs w:val="32"/>
        <w:rtl/>
      </w:rPr>
      <w:t>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25D7"/>
    <w:multiLevelType w:val="hybridMultilevel"/>
    <w:tmpl w:val="D9F2B5AC"/>
    <w:lvl w:ilvl="0" w:tplc="14289C10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B65E1E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BA06AC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D861C8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48B94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A48290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56BF58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DC6176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9CA36C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9838FB"/>
    <w:multiLevelType w:val="hybridMultilevel"/>
    <w:tmpl w:val="59383758"/>
    <w:lvl w:ilvl="0" w:tplc="7D1AE626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54E606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CACD9C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E1668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9817D0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DAAC6E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EC388C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4A632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61C00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BC"/>
    <w:rsid w:val="001603E5"/>
    <w:rsid w:val="00B12BBC"/>
    <w:rsid w:val="00B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C746"/>
  <w15:docId w15:val="{BA35552D-4568-40EE-8237-63D80DC4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Allan</cp:lastModifiedBy>
  <cp:revision>2</cp:revision>
  <dcterms:created xsi:type="dcterms:W3CDTF">2025-12-23T09:12:00Z</dcterms:created>
  <dcterms:modified xsi:type="dcterms:W3CDTF">2025-12-23T09:12:00Z</dcterms:modified>
</cp:coreProperties>
</file>